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66" w:rsidRDefault="005D1766" w:rsidP="005D1766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AB28753" wp14:editId="1DFE3573">
            <wp:extent cx="723900" cy="279505"/>
            <wp:effectExtent l="0" t="0" r="0" b="635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22" cy="28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66" w:rsidRDefault="005D1766" w:rsidP="005D1766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0843077D" wp14:editId="0E83092D">
            <wp:extent cx="1028700" cy="183812"/>
            <wp:effectExtent l="0" t="0" r="0" b="6985"/>
            <wp:docPr id="2" name="Picture 2" descr="healthy children : Powered by pediatricians. Trusted by parents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8" cy="1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66" w:rsidRDefault="005D1766" w:rsidP="005D1766">
      <w:pPr>
        <w:spacing w:after="0" w:line="240" w:lineRule="auto"/>
        <w:jc w:val="center"/>
        <w:rPr>
          <w:b/>
          <w:sz w:val="32"/>
          <w:szCs w:val="32"/>
        </w:rPr>
      </w:pPr>
      <w:r w:rsidRPr="005D1766">
        <w:rPr>
          <w:b/>
          <w:sz w:val="32"/>
          <w:szCs w:val="32"/>
        </w:rPr>
        <w:t xml:space="preserve">Does </w:t>
      </w:r>
      <w:r w:rsidR="00023D8D">
        <w:rPr>
          <w:b/>
          <w:sz w:val="32"/>
          <w:szCs w:val="32"/>
        </w:rPr>
        <w:t>your</w:t>
      </w:r>
      <w:r w:rsidRPr="005D1766">
        <w:rPr>
          <w:b/>
          <w:sz w:val="32"/>
          <w:szCs w:val="32"/>
        </w:rPr>
        <w:t xml:space="preserve"> child have seasonal allergies?</w:t>
      </w:r>
    </w:p>
    <w:p w:rsidR="005D1766" w:rsidRDefault="005D1766" w:rsidP="005D1766">
      <w:pPr>
        <w:spacing w:after="0" w:line="240" w:lineRule="auto"/>
        <w:jc w:val="center"/>
      </w:pPr>
    </w:p>
    <w:p w:rsidR="00517A72" w:rsidRPr="00517A72" w:rsidRDefault="005D1766" w:rsidP="00586140">
      <w:pPr>
        <w:spacing w:after="0" w:line="240" w:lineRule="auto"/>
        <w:jc w:val="center"/>
        <w:rPr>
          <w:sz w:val="24"/>
          <w:szCs w:val="24"/>
        </w:rPr>
      </w:pPr>
      <w:r w:rsidRPr="00517A72">
        <w:rPr>
          <w:sz w:val="24"/>
          <w:szCs w:val="24"/>
        </w:rPr>
        <w:t xml:space="preserve">If you suffer from seasonal allergies, it is possible that your child may as well. Do you notice an increase in sneezing and clear nasal discharge in your </w:t>
      </w:r>
      <w:r w:rsidR="003E2742">
        <w:rPr>
          <w:sz w:val="24"/>
          <w:szCs w:val="24"/>
        </w:rPr>
        <w:t xml:space="preserve">child particularly during the spring </w:t>
      </w:r>
      <w:r w:rsidRPr="00517A72">
        <w:rPr>
          <w:sz w:val="24"/>
          <w:szCs w:val="24"/>
        </w:rPr>
        <w:t xml:space="preserve">and fall months? Seasonal allergies, also known as allergic rhinitis or hay fever, are common among children </w:t>
      </w:r>
      <w:r w:rsidR="003E2742">
        <w:rPr>
          <w:sz w:val="24"/>
          <w:szCs w:val="24"/>
        </w:rPr>
        <w:t>as the seasons change.</w:t>
      </w:r>
      <w:r w:rsidRPr="00517A72">
        <w:rPr>
          <w:sz w:val="24"/>
          <w:szCs w:val="24"/>
        </w:rPr>
        <w:t xml:space="preserve"> </w:t>
      </w:r>
      <w:r w:rsidR="00113398" w:rsidRPr="00517A72">
        <w:rPr>
          <w:sz w:val="24"/>
          <w:szCs w:val="24"/>
        </w:rPr>
        <w:t xml:space="preserve">Pollen from different types of grass, trees, or weeds may trigger </w:t>
      </w:r>
      <w:r w:rsidR="00517A72" w:rsidRPr="00517A72">
        <w:rPr>
          <w:sz w:val="24"/>
          <w:szCs w:val="24"/>
        </w:rPr>
        <w:t xml:space="preserve">allergy symptoms </w:t>
      </w:r>
      <w:r w:rsidR="00113398" w:rsidRPr="00517A72">
        <w:rPr>
          <w:sz w:val="24"/>
          <w:szCs w:val="24"/>
        </w:rPr>
        <w:t xml:space="preserve">depending on where you live and the weather. </w:t>
      </w:r>
      <w:r w:rsidRPr="00517A72">
        <w:rPr>
          <w:sz w:val="24"/>
          <w:szCs w:val="24"/>
        </w:rPr>
        <w:t>If your child has seasonal allergies,</w:t>
      </w:r>
      <w:r w:rsidR="00517A72" w:rsidRPr="00517A72">
        <w:rPr>
          <w:sz w:val="24"/>
          <w:szCs w:val="24"/>
        </w:rPr>
        <w:t xml:space="preserve"> it is helpful to </w:t>
      </w:r>
      <w:r w:rsidR="00586140" w:rsidRPr="00517A72">
        <w:rPr>
          <w:sz w:val="24"/>
          <w:szCs w:val="24"/>
        </w:rPr>
        <w:t>keep them</w:t>
      </w:r>
      <w:r w:rsidRPr="00517A72">
        <w:rPr>
          <w:sz w:val="24"/>
          <w:szCs w:val="24"/>
        </w:rPr>
        <w:t xml:space="preserve"> away from </w:t>
      </w:r>
      <w:r w:rsidR="00586140" w:rsidRPr="00517A72">
        <w:rPr>
          <w:sz w:val="24"/>
          <w:szCs w:val="24"/>
        </w:rPr>
        <w:t>known</w:t>
      </w:r>
      <w:r w:rsidRPr="00517A72">
        <w:rPr>
          <w:sz w:val="24"/>
          <w:szCs w:val="24"/>
        </w:rPr>
        <w:t xml:space="preserve"> triggers. </w:t>
      </w:r>
      <w:r w:rsidR="003E2742">
        <w:rPr>
          <w:sz w:val="24"/>
          <w:szCs w:val="24"/>
        </w:rPr>
        <w:t>Sometimes, having your child sleep with the windows closed (and air conditioner on if needed) is best during allergy flares.</w:t>
      </w:r>
    </w:p>
    <w:p w:rsidR="00517A72" w:rsidRPr="00517A72" w:rsidRDefault="00517A72" w:rsidP="00586140">
      <w:pPr>
        <w:spacing w:after="0" w:line="240" w:lineRule="auto"/>
        <w:jc w:val="center"/>
        <w:rPr>
          <w:sz w:val="24"/>
          <w:szCs w:val="24"/>
        </w:rPr>
      </w:pPr>
    </w:p>
    <w:p w:rsidR="00023D8D" w:rsidRDefault="005D1766" w:rsidP="005D25FC">
      <w:pPr>
        <w:spacing w:after="0" w:line="240" w:lineRule="auto"/>
        <w:jc w:val="center"/>
        <w:rPr>
          <w:sz w:val="24"/>
          <w:szCs w:val="24"/>
        </w:rPr>
      </w:pPr>
      <w:r w:rsidRPr="00517A72">
        <w:rPr>
          <w:sz w:val="24"/>
          <w:szCs w:val="24"/>
        </w:rPr>
        <w:t>In addition to avoiding triggers, your child may take a daily a</w:t>
      </w:r>
      <w:r w:rsidR="00113398" w:rsidRPr="00517A72">
        <w:rPr>
          <w:sz w:val="24"/>
          <w:szCs w:val="24"/>
        </w:rPr>
        <w:t xml:space="preserve">ntihistamine to control or even </w:t>
      </w:r>
      <w:r w:rsidRPr="00517A72">
        <w:rPr>
          <w:sz w:val="24"/>
          <w:szCs w:val="24"/>
        </w:rPr>
        <w:t>prevent symptoms. Examples of such antihistamines are</w:t>
      </w:r>
      <w:r w:rsidR="00586140" w:rsidRPr="00517A72">
        <w:rPr>
          <w:sz w:val="24"/>
          <w:szCs w:val="24"/>
        </w:rPr>
        <w:t xml:space="preserve"> </w:t>
      </w:r>
      <w:r w:rsidRPr="00517A72">
        <w:rPr>
          <w:sz w:val="24"/>
          <w:szCs w:val="24"/>
        </w:rPr>
        <w:t>Claritin, Zyrtec, and Allegra. Do not give more than one</w:t>
      </w:r>
      <w:r w:rsidR="00113398" w:rsidRPr="00517A72">
        <w:rPr>
          <w:sz w:val="24"/>
          <w:szCs w:val="24"/>
        </w:rPr>
        <w:t xml:space="preserve"> type of</w:t>
      </w:r>
      <w:r w:rsidRPr="00517A72">
        <w:rPr>
          <w:sz w:val="24"/>
          <w:szCs w:val="24"/>
        </w:rPr>
        <w:t xml:space="preserve"> antihistamine daily. If you find that the first antihistamine </w:t>
      </w:r>
      <w:r w:rsidR="00113398" w:rsidRPr="00517A72">
        <w:rPr>
          <w:sz w:val="24"/>
          <w:szCs w:val="24"/>
        </w:rPr>
        <w:t>you try is not successful after a few weeks,</w:t>
      </w:r>
      <w:r w:rsidRPr="00517A72">
        <w:rPr>
          <w:sz w:val="24"/>
          <w:szCs w:val="24"/>
        </w:rPr>
        <w:t xml:space="preserve"> it is okay to try</w:t>
      </w:r>
      <w:r w:rsidR="00586140" w:rsidRPr="00517A72">
        <w:rPr>
          <w:sz w:val="24"/>
          <w:szCs w:val="24"/>
        </w:rPr>
        <w:t xml:space="preserve"> </w:t>
      </w:r>
      <w:r w:rsidRPr="00517A72">
        <w:rPr>
          <w:sz w:val="24"/>
          <w:szCs w:val="24"/>
        </w:rPr>
        <w:t xml:space="preserve">another. </w:t>
      </w:r>
      <w:r w:rsidR="00586140" w:rsidRPr="00517A72">
        <w:rPr>
          <w:sz w:val="24"/>
          <w:szCs w:val="24"/>
        </w:rPr>
        <w:t>Please consult the office if you are unsure whether or not your child’s symptoms may be caused by seas</w:t>
      </w:r>
      <w:bookmarkStart w:id="0" w:name="_GoBack"/>
      <w:bookmarkEnd w:id="0"/>
      <w:r w:rsidR="00586140" w:rsidRPr="00517A72">
        <w:rPr>
          <w:sz w:val="24"/>
          <w:szCs w:val="24"/>
        </w:rPr>
        <w:t>onal allergies or if you are unable to manage the symptoms at home.</w:t>
      </w:r>
    </w:p>
    <w:p w:rsidR="005D25FC" w:rsidRPr="005D25FC" w:rsidRDefault="005D25FC" w:rsidP="005D25FC">
      <w:pPr>
        <w:spacing w:after="0" w:line="240" w:lineRule="auto"/>
        <w:rPr>
          <w:sz w:val="24"/>
          <w:szCs w:val="24"/>
        </w:rPr>
      </w:pPr>
    </w:p>
    <w:p w:rsidR="005D25FC" w:rsidRPr="005D25FC" w:rsidRDefault="00F547CB" w:rsidP="005D25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Possible s</w:t>
      </w:r>
      <w:r w:rsidR="00517A72" w:rsidRPr="005D25FC">
        <w:rPr>
          <w:b/>
          <w:sz w:val="28"/>
          <w:szCs w:val="28"/>
        </w:rPr>
        <w:t>ymptoms</w:t>
      </w:r>
      <w:r w:rsidR="005D25FC" w:rsidRPr="005D25FC">
        <w:rPr>
          <w:b/>
          <w:sz w:val="28"/>
          <w:szCs w:val="28"/>
        </w:rPr>
        <w:t xml:space="preserve">: </w:t>
      </w:r>
    </w:p>
    <w:p w:rsidR="005D25FC" w:rsidRDefault="00FA1983" w:rsidP="005D25FC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341DC9" wp14:editId="3667744C">
            <wp:simplePos x="0" y="0"/>
            <wp:positionH relativeFrom="column">
              <wp:posOffset>4514850</wp:posOffset>
            </wp:positionH>
            <wp:positionV relativeFrom="paragraph">
              <wp:posOffset>5080</wp:posOffset>
            </wp:positionV>
            <wp:extent cx="1238250" cy="1547495"/>
            <wp:effectExtent l="0" t="0" r="0" b="0"/>
            <wp:wrapNone/>
            <wp:docPr id="3" name="Picture 3" descr="C:\Users\yara\AppData\Local\Microsoft\Windows\Temporary Internet Files\Content.IE5\FZGA3200\MC9002327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a\AppData\Local\Microsoft\Windows\Temporary Internet Files\Content.IE5\FZGA3200\MC90023273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A72" w:rsidRPr="005D25FC">
        <w:rPr>
          <w:rFonts w:ascii="Kristen ITC" w:hAnsi="Kristen ITC"/>
          <w:sz w:val="20"/>
          <w:szCs w:val="20"/>
        </w:rPr>
        <w:t>Sneezing</w:t>
      </w:r>
      <w:r w:rsidR="005D25FC" w:rsidRPr="005D25FC">
        <w:rPr>
          <w:rFonts w:ascii="Kristen ITC" w:hAnsi="Kristen ITC"/>
          <w:sz w:val="20"/>
          <w:szCs w:val="20"/>
        </w:rPr>
        <w:tab/>
      </w:r>
      <w:r w:rsidR="005D25FC" w:rsidRPr="005D25FC">
        <w:rPr>
          <w:rFonts w:ascii="Kristen ITC" w:hAnsi="Kristen ITC"/>
          <w:sz w:val="20"/>
          <w:szCs w:val="20"/>
        </w:rPr>
        <w:tab/>
      </w:r>
    </w:p>
    <w:p w:rsidR="005D25FC" w:rsidRDefault="00517A72" w:rsidP="005D25FC">
      <w:pPr>
        <w:spacing w:after="0" w:line="240" w:lineRule="auto"/>
        <w:rPr>
          <w:rFonts w:ascii="Kristen ITC" w:hAnsi="Kristen ITC"/>
          <w:sz w:val="20"/>
          <w:szCs w:val="20"/>
        </w:rPr>
      </w:pPr>
      <w:r w:rsidRPr="005D25FC">
        <w:rPr>
          <w:rFonts w:ascii="Kristen ITC" w:hAnsi="Kristen ITC"/>
          <w:sz w:val="20"/>
          <w:szCs w:val="20"/>
        </w:rPr>
        <w:t>Clear nasal congestion</w:t>
      </w:r>
      <w:r w:rsidR="005D25FC" w:rsidRPr="005D25FC">
        <w:rPr>
          <w:rFonts w:ascii="Kristen ITC" w:hAnsi="Kristen ITC"/>
          <w:sz w:val="20"/>
          <w:szCs w:val="20"/>
        </w:rPr>
        <w:tab/>
      </w:r>
      <w:r w:rsidR="005D25FC" w:rsidRPr="005D25FC">
        <w:rPr>
          <w:rFonts w:ascii="Kristen ITC" w:hAnsi="Kristen ITC"/>
          <w:sz w:val="20"/>
          <w:szCs w:val="20"/>
        </w:rPr>
        <w:tab/>
      </w:r>
      <w:r w:rsidR="005D25FC" w:rsidRPr="005D25FC">
        <w:rPr>
          <w:rFonts w:ascii="Kristen ITC" w:hAnsi="Kristen ITC"/>
          <w:sz w:val="20"/>
          <w:szCs w:val="20"/>
        </w:rPr>
        <w:tab/>
      </w:r>
      <w:r w:rsidR="005D25FC" w:rsidRPr="005D25FC">
        <w:rPr>
          <w:rFonts w:ascii="Kristen ITC" w:hAnsi="Kristen ITC"/>
          <w:sz w:val="20"/>
          <w:szCs w:val="20"/>
        </w:rPr>
        <w:tab/>
      </w:r>
    </w:p>
    <w:p w:rsidR="00517A72" w:rsidRPr="005D25FC" w:rsidRDefault="00517A72" w:rsidP="005D25FC">
      <w:pPr>
        <w:spacing w:after="0" w:line="240" w:lineRule="auto"/>
        <w:rPr>
          <w:rFonts w:ascii="Kristen ITC" w:hAnsi="Kristen ITC"/>
          <w:sz w:val="20"/>
          <w:szCs w:val="20"/>
        </w:rPr>
      </w:pPr>
      <w:r w:rsidRPr="005D25FC">
        <w:rPr>
          <w:rFonts w:ascii="Kristen ITC" w:hAnsi="Kristen ITC"/>
          <w:sz w:val="20"/>
          <w:szCs w:val="20"/>
        </w:rPr>
        <w:t>Red, watery eyes</w:t>
      </w:r>
    </w:p>
    <w:p w:rsidR="005D25FC" w:rsidRPr="005D25FC" w:rsidRDefault="005D25FC" w:rsidP="005D25FC">
      <w:pPr>
        <w:spacing w:after="0" w:line="240" w:lineRule="auto"/>
        <w:rPr>
          <w:rFonts w:ascii="Kristen ITC" w:hAnsi="Kristen ITC"/>
          <w:sz w:val="20"/>
          <w:szCs w:val="20"/>
        </w:rPr>
      </w:pPr>
      <w:r w:rsidRPr="005D25FC">
        <w:rPr>
          <w:rFonts w:ascii="Kristen ITC" w:hAnsi="Kristen ITC"/>
          <w:sz w:val="20"/>
          <w:szCs w:val="20"/>
        </w:rPr>
        <w:t xml:space="preserve">Itchy nose, </w:t>
      </w:r>
      <w:r w:rsidR="00F547CB">
        <w:rPr>
          <w:rFonts w:ascii="Kristen ITC" w:hAnsi="Kristen ITC"/>
          <w:sz w:val="20"/>
          <w:szCs w:val="20"/>
        </w:rPr>
        <w:t xml:space="preserve">throat, </w:t>
      </w:r>
      <w:r w:rsidRPr="005D25FC">
        <w:rPr>
          <w:rFonts w:ascii="Kristen ITC" w:hAnsi="Kristen ITC"/>
          <w:sz w:val="20"/>
          <w:szCs w:val="20"/>
        </w:rPr>
        <w:t>eyes, or ears</w:t>
      </w:r>
    </w:p>
    <w:p w:rsidR="00F547CB" w:rsidRDefault="00517A72" w:rsidP="005D25FC">
      <w:pPr>
        <w:spacing w:after="0" w:line="240" w:lineRule="auto"/>
        <w:rPr>
          <w:rFonts w:ascii="Kristen ITC" w:hAnsi="Kristen ITC"/>
          <w:sz w:val="20"/>
          <w:szCs w:val="20"/>
        </w:rPr>
      </w:pPr>
      <w:r w:rsidRPr="005D25FC">
        <w:rPr>
          <w:rFonts w:ascii="Kristen ITC" w:hAnsi="Kristen ITC"/>
          <w:sz w:val="20"/>
          <w:szCs w:val="20"/>
        </w:rPr>
        <w:t>Dark circles under the eyes</w:t>
      </w:r>
      <w:r w:rsidR="005D25FC" w:rsidRPr="005D25FC">
        <w:rPr>
          <w:rFonts w:ascii="Kristen ITC" w:hAnsi="Kristen ITC"/>
          <w:sz w:val="20"/>
          <w:szCs w:val="20"/>
        </w:rPr>
        <w:tab/>
      </w:r>
    </w:p>
    <w:p w:rsidR="00F547CB" w:rsidRDefault="00F547CB" w:rsidP="005D25FC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Dry cough </w:t>
      </w:r>
    </w:p>
    <w:p w:rsidR="005D25FC" w:rsidRPr="005D25FC" w:rsidRDefault="00F547CB" w:rsidP="005D25FC">
      <w:pPr>
        <w:spacing w:after="0" w:line="240" w:lineRule="auto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Puffiness around the eyes </w:t>
      </w:r>
      <w:r w:rsidR="005D25FC" w:rsidRPr="005D25FC">
        <w:rPr>
          <w:rFonts w:ascii="Kristen ITC" w:hAnsi="Kristen ITC"/>
          <w:sz w:val="20"/>
          <w:szCs w:val="20"/>
        </w:rPr>
        <w:tab/>
      </w:r>
    </w:p>
    <w:p w:rsidR="00517A72" w:rsidRDefault="00517A72" w:rsidP="00586140">
      <w:pPr>
        <w:spacing w:after="0" w:line="240" w:lineRule="auto"/>
        <w:jc w:val="center"/>
      </w:pPr>
    </w:p>
    <w:p w:rsidR="00517A72" w:rsidRDefault="00517A72" w:rsidP="00F547CB">
      <w:pPr>
        <w:spacing w:after="0" w:line="240" w:lineRule="auto"/>
      </w:pPr>
    </w:p>
    <w:p w:rsidR="00F547CB" w:rsidRDefault="00F547CB" w:rsidP="0058614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2066"/>
        <w:gridCol w:w="2246"/>
      </w:tblGrid>
      <w:tr w:rsidR="00686C4A" w:rsidTr="005D25FC">
        <w:trPr>
          <w:trHeight w:val="239"/>
        </w:trPr>
        <w:tc>
          <w:tcPr>
            <w:tcW w:w="0" w:type="auto"/>
            <w:gridSpan w:val="3"/>
          </w:tcPr>
          <w:p w:rsidR="00686C4A" w:rsidRPr="00FA1983" w:rsidRDefault="00686C4A" w:rsidP="00023D8D">
            <w:pPr>
              <w:jc w:val="center"/>
              <w:rPr>
                <w:b/>
              </w:rPr>
            </w:pPr>
            <w:r w:rsidRPr="00FA1983">
              <w:rPr>
                <w:b/>
              </w:rPr>
              <w:t>Claritin (loratidine)</w:t>
            </w:r>
          </w:p>
        </w:tc>
      </w:tr>
      <w:tr w:rsidR="00686C4A" w:rsidTr="005D25FC">
        <w:trPr>
          <w:trHeight w:val="239"/>
        </w:trPr>
        <w:tc>
          <w:tcPr>
            <w:tcW w:w="0" w:type="auto"/>
          </w:tcPr>
          <w:p w:rsidR="00686C4A" w:rsidRPr="00517A72" w:rsidRDefault="00686C4A" w:rsidP="009B2E1C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Formulation</w:t>
            </w:r>
          </w:p>
        </w:tc>
        <w:tc>
          <w:tcPr>
            <w:tcW w:w="0" w:type="auto"/>
          </w:tcPr>
          <w:p w:rsidR="00686C4A" w:rsidRPr="00517A72" w:rsidRDefault="00686C4A" w:rsidP="009B2E1C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Ages 2-5</w:t>
            </w:r>
          </w:p>
        </w:tc>
        <w:tc>
          <w:tcPr>
            <w:tcW w:w="0" w:type="auto"/>
          </w:tcPr>
          <w:p w:rsidR="00686C4A" w:rsidRPr="00517A72" w:rsidRDefault="00686C4A" w:rsidP="009B2E1C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Ages 6+</w:t>
            </w:r>
          </w:p>
        </w:tc>
      </w:tr>
      <w:tr w:rsidR="00686C4A" w:rsidTr="005D25FC">
        <w:trPr>
          <w:trHeight w:val="239"/>
        </w:trPr>
        <w:tc>
          <w:tcPr>
            <w:tcW w:w="0" w:type="auto"/>
          </w:tcPr>
          <w:p w:rsidR="00686C4A" w:rsidRPr="00517A72" w:rsidRDefault="00686C4A" w:rsidP="00686C4A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</w:tcPr>
          <w:p w:rsidR="00686C4A" w:rsidRPr="00517A72" w:rsidRDefault="00686C4A" w:rsidP="00686C4A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1 tsp (5 mg) once daily</w:t>
            </w:r>
          </w:p>
        </w:tc>
        <w:tc>
          <w:tcPr>
            <w:tcW w:w="0" w:type="auto"/>
          </w:tcPr>
          <w:p w:rsidR="00686C4A" w:rsidRPr="00517A72" w:rsidRDefault="00686C4A" w:rsidP="00686C4A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2 tsp (10 mg) once daily</w:t>
            </w:r>
          </w:p>
        </w:tc>
      </w:tr>
      <w:tr w:rsidR="00023D8D" w:rsidTr="005D25FC">
        <w:trPr>
          <w:trHeight w:val="239"/>
        </w:trPr>
        <w:tc>
          <w:tcPr>
            <w:tcW w:w="0" w:type="auto"/>
          </w:tcPr>
          <w:p w:rsidR="00023D8D" w:rsidRPr="00517A72" w:rsidRDefault="00023D8D" w:rsidP="00306CF9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Chewable</w:t>
            </w:r>
          </w:p>
        </w:tc>
        <w:tc>
          <w:tcPr>
            <w:tcW w:w="0" w:type="auto"/>
          </w:tcPr>
          <w:p w:rsidR="00023D8D" w:rsidRPr="00517A72" w:rsidRDefault="00023D8D" w:rsidP="00306CF9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1 tab (5 mg) once daily</w:t>
            </w:r>
          </w:p>
        </w:tc>
        <w:tc>
          <w:tcPr>
            <w:tcW w:w="0" w:type="auto"/>
          </w:tcPr>
          <w:p w:rsidR="00023D8D" w:rsidRPr="00517A72" w:rsidRDefault="00023D8D" w:rsidP="00306CF9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2 tabs (10 mg) once daily</w:t>
            </w:r>
          </w:p>
        </w:tc>
      </w:tr>
      <w:tr w:rsidR="00023D8D" w:rsidTr="005D25FC">
        <w:trPr>
          <w:trHeight w:val="239"/>
        </w:trPr>
        <w:tc>
          <w:tcPr>
            <w:tcW w:w="0" w:type="auto"/>
          </w:tcPr>
          <w:p w:rsidR="00023D8D" w:rsidRPr="00517A72" w:rsidRDefault="00023D8D" w:rsidP="00586140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RediTabs</w:t>
            </w:r>
          </w:p>
        </w:tc>
        <w:tc>
          <w:tcPr>
            <w:tcW w:w="0" w:type="auto"/>
          </w:tcPr>
          <w:p w:rsidR="00023D8D" w:rsidRPr="00517A72" w:rsidRDefault="00023D8D" w:rsidP="00586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23D8D" w:rsidRPr="00517A72" w:rsidRDefault="00023D8D" w:rsidP="00586140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1 tab (5 mg) twice daily</w:t>
            </w:r>
          </w:p>
        </w:tc>
      </w:tr>
    </w:tbl>
    <w:p w:rsidR="00023D8D" w:rsidRDefault="00023D8D" w:rsidP="00517A7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922"/>
        <w:gridCol w:w="2168"/>
      </w:tblGrid>
      <w:tr w:rsidR="00686C4A" w:rsidTr="005D25FC">
        <w:trPr>
          <w:trHeight w:val="270"/>
        </w:trPr>
        <w:tc>
          <w:tcPr>
            <w:tcW w:w="0" w:type="auto"/>
            <w:gridSpan w:val="3"/>
          </w:tcPr>
          <w:p w:rsidR="00686C4A" w:rsidRPr="00FA1983" w:rsidRDefault="00686C4A" w:rsidP="00686C4A">
            <w:pPr>
              <w:jc w:val="center"/>
              <w:rPr>
                <w:b/>
              </w:rPr>
            </w:pPr>
            <w:r w:rsidRPr="00FA1983">
              <w:rPr>
                <w:b/>
              </w:rPr>
              <w:t>Zyrtec (cetirizine)</w:t>
            </w:r>
          </w:p>
        </w:tc>
      </w:tr>
      <w:tr w:rsidR="00686C4A" w:rsidTr="005D25FC">
        <w:trPr>
          <w:trHeight w:val="270"/>
        </w:trPr>
        <w:tc>
          <w:tcPr>
            <w:tcW w:w="0" w:type="auto"/>
          </w:tcPr>
          <w:p w:rsidR="00686C4A" w:rsidRPr="00517A72" w:rsidRDefault="00686C4A" w:rsidP="009A6EC3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Formulation</w:t>
            </w:r>
          </w:p>
        </w:tc>
        <w:tc>
          <w:tcPr>
            <w:tcW w:w="0" w:type="auto"/>
          </w:tcPr>
          <w:p w:rsidR="00686C4A" w:rsidRPr="00517A72" w:rsidRDefault="00686C4A" w:rsidP="009A6EC3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Ages 2-5</w:t>
            </w:r>
          </w:p>
        </w:tc>
        <w:tc>
          <w:tcPr>
            <w:tcW w:w="0" w:type="auto"/>
          </w:tcPr>
          <w:p w:rsidR="00686C4A" w:rsidRPr="00517A72" w:rsidRDefault="00686C4A" w:rsidP="009A6EC3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Ages 6+</w:t>
            </w:r>
          </w:p>
        </w:tc>
      </w:tr>
      <w:tr w:rsidR="00686C4A" w:rsidTr="005D25FC">
        <w:trPr>
          <w:trHeight w:val="255"/>
        </w:trPr>
        <w:tc>
          <w:tcPr>
            <w:tcW w:w="0" w:type="auto"/>
          </w:tcPr>
          <w:p w:rsidR="00686C4A" w:rsidRPr="00517A72" w:rsidRDefault="0091799A" w:rsidP="009A6EC3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Dissolve Tabs</w:t>
            </w:r>
          </w:p>
        </w:tc>
        <w:tc>
          <w:tcPr>
            <w:tcW w:w="0" w:type="auto"/>
          </w:tcPr>
          <w:p w:rsidR="00686C4A" w:rsidRPr="00517A72" w:rsidRDefault="00686C4A" w:rsidP="009A6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86C4A" w:rsidRPr="00517A72" w:rsidRDefault="0091799A" w:rsidP="0091799A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1 tab (10 mg) once daily</w:t>
            </w:r>
          </w:p>
        </w:tc>
      </w:tr>
    </w:tbl>
    <w:p w:rsidR="00023D8D" w:rsidRDefault="00023D8D" w:rsidP="00517A7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2213"/>
        <w:gridCol w:w="2291"/>
      </w:tblGrid>
      <w:tr w:rsidR="00023D8D" w:rsidTr="005D25FC">
        <w:trPr>
          <w:trHeight w:val="270"/>
        </w:trPr>
        <w:tc>
          <w:tcPr>
            <w:tcW w:w="0" w:type="auto"/>
            <w:gridSpan w:val="3"/>
          </w:tcPr>
          <w:p w:rsidR="00023D8D" w:rsidRPr="00FA1983" w:rsidRDefault="00023D8D" w:rsidP="00023D8D">
            <w:pPr>
              <w:jc w:val="center"/>
              <w:rPr>
                <w:b/>
              </w:rPr>
            </w:pPr>
            <w:r w:rsidRPr="00FA1983">
              <w:rPr>
                <w:b/>
              </w:rPr>
              <w:t>Allegra (fexofenadine)</w:t>
            </w:r>
          </w:p>
        </w:tc>
      </w:tr>
      <w:tr w:rsidR="00023D8D" w:rsidTr="005D25FC">
        <w:trPr>
          <w:trHeight w:val="270"/>
        </w:trPr>
        <w:tc>
          <w:tcPr>
            <w:tcW w:w="0" w:type="auto"/>
          </w:tcPr>
          <w:p w:rsidR="00023D8D" w:rsidRPr="00517A72" w:rsidRDefault="00023D8D" w:rsidP="009A6EC3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Formulation</w:t>
            </w:r>
          </w:p>
        </w:tc>
        <w:tc>
          <w:tcPr>
            <w:tcW w:w="0" w:type="auto"/>
          </w:tcPr>
          <w:p w:rsidR="00023D8D" w:rsidRPr="00517A72" w:rsidRDefault="00023D8D" w:rsidP="009A6EC3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Ages 6-12</w:t>
            </w:r>
          </w:p>
        </w:tc>
        <w:tc>
          <w:tcPr>
            <w:tcW w:w="0" w:type="auto"/>
          </w:tcPr>
          <w:p w:rsidR="00023D8D" w:rsidRPr="00517A72" w:rsidRDefault="00023D8D" w:rsidP="00023D8D">
            <w:pPr>
              <w:jc w:val="center"/>
              <w:rPr>
                <w:b/>
                <w:sz w:val="20"/>
                <w:szCs w:val="20"/>
              </w:rPr>
            </w:pPr>
            <w:r w:rsidRPr="00517A72">
              <w:rPr>
                <w:b/>
                <w:sz w:val="20"/>
                <w:szCs w:val="20"/>
              </w:rPr>
              <w:t>Ages 12+</w:t>
            </w:r>
          </w:p>
        </w:tc>
      </w:tr>
      <w:tr w:rsidR="00023D8D" w:rsidTr="005D25FC">
        <w:trPr>
          <w:trHeight w:val="270"/>
        </w:trPr>
        <w:tc>
          <w:tcPr>
            <w:tcW w:w="0" w:type="auto"/>
          </w:tcPr>
          <w:p w:rsidR="00023D8D" w:rsidRPr="00517A72" w:rsidRDefault="00023D8D" w:rsidP="009A6EC3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Liquid</w:t>
            </w:r>
          </w:p>
        </w:tc>
        <w:tc>
          <w:tcPr>
            <w:tcW w:w="0" w:type="auto"/>
          </w:tcPr>
          <w:p w:rsidR="00023D8D" w:rsidRPr="00517A72" w:rsidRDefault="00023D8D" w:rsidP="00023D8D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1 tsp (30 mg) twice daily</w:t>
            </w:r>
          </w:p>
        </w:tc>
        <w:tc>
          <w:tcPr>
            <w:tcW w:w="0" w:type="auto"/>
          </w:tcPr>
          <w:p w:rsidR="00023D8D" w:rsidRPr="00517A72" w:rsidRDefault="00023D8D" w:rsidP="009A6EC3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2 tsp (10 mg) once daily</w:t>
            </w:r>
          </w:p>
        </w:tc>
      </w:tr>
      <w:tr w:rsidR="00023D8D" w:rsidTr="005D25FC">
        <w:trPr>
          <w:trHeight w:val="70"/>
        </w:trPr>
        <w:tc>
          <w:tcPr>
            <w:tcW w:w="0" w:type="auto"/>
          </w:tcPr>
          <w:p w:rsidR="00023D8D" w:rsidRPr="00517A72" w:rsidRDefault="00023D8D" w:rsidP="00023D8D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Meltable Tablets</w:t>
            </w:r>
          </w:p>
        </w:tc>
        <w:tc>
          <w:tcPr>
            <w:tcW w:w="0" w:type="auto"/>
          </w:tcPr>
          <w:p w:rsidR="00023D8D" w:rsidRPr="00517A72" w:rsidRDefault="00023D8D" w:rsidP="009A6EC3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1 tab (30 mg) twice daily</w:t>
            </w:r>
          </w:p>
        </w:tc>
        <w:tc>
          <w:tcPr>
            <w:tcW w:w="0" w:type="auto"/>
          </w:tcPr>
          <w:p w:rsidR="00023D8D" w:rsidRPr="00517A72" w:rsidRDefault="00023D8D" w:rsidP="009A6EC3">
            <w:pPr>
              <w:jc w:val="center"/>
              <w:rPr>
                <w:sz w:val="20"/>
                <w:szCs w:val="20"/>
              </w:rPr>
            </w:pPr>
            <w:r w:rsidRPr="00517A72">
              <w:rPr>
                <w:sz w:val="20"/>
                <w:szCs w:val="20"/>
              </w:rPr>
              <w:t>2 tabs (60 mg) twice daily</w:t>
            </w:r>
          </w:p>
        </w:tc>
      </w:tr>
    </w:tbl>
    <w:p w:rsidR="00F547CB" w:rsidRDefault="00F547CB"/>
    <w:sectPr w:rsidR="00F54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66"/>
    <w:rsid w:val="00023D8D"/>
    <w:rsid w:val="00113398"/>
    <w:rsid w:val="00326D95"/>
    <w:rsid w:val="003E2742"/>
    <w:rsid w:val="00404DF0"/>
    <w:rsid w:val="00517A72"/>
    <w:rsid w:val="00586140"/>
    <w:rsid w:val="005D1766"/>
    <w:rsid w:val="005D25FC"/>
    <w:rsid w:val="00686C4A"/>
    <w:rsid w:val="0091799A"/>
    <w:rsid w:val="00A405C9"/>
    <w:rsid w:val="00F547CB"/>
    <w:rsid w:val="00FA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766"/>
  </w:style>
  <w:style w:type="table" w:styleId="TableGrid">
    <w:name w:val="Table Grid"/>
    <w:basedOn w:val="TableNormal"/>
    <w:uiPriority w:val="59"/>
    <w:rsid w:val="0068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1766"/>
  </w:style>
  <w:style w:type="table" w:styleId="TableGrid">
    <w:name w:val="Table Grid"/>
    <w:basedOn w:val="TableNormal"/>
    <w:uiPriority w:val="59"/>
    <w:rsid w:val="0068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althychildren.org/English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yara</cp:lastModifiedBy>
  <cp:revision>4</cp:revision>
  <dcterms:created xsi:type="dcterms:W3CDTF">2014-07-28T14:42:00Z</dcterms:created>
  <dcterms:modified xsi:type="dcterms:W3CDTF">2014-07-28T18:14:00Z</dcterms:modified>
</cp:coreProperties>
</file>